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048"/>
        <w:gridCol w:w="1596"/>
        <w:gridCol w:w="1032"/>
        <w:gridCol w:w="2078"/>
        <w:gridCol w:w="2416"/>
      </w:tblGrid>
      <w:tr>
        <w:trPr>
          <w:trHeight w:val="762" w:hRule="atLeast"/>
        </w:trPr>
        <w:tc>
          <w:tcPr>
            <w:tcW w:w="9638" w:type="dxa"/>
            <w:gridSpan w:val="6"/>
          </w:tcPr>
          <w:p>
            <w:pPr>
              <w:pStyle w:val="TableParagraph"/>
              <w:spacing w:before="166"/>
              <w:ind w:left="1938" w:right="199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PROVISIONAL BALANCE SHEET</w:t>
            </w:r>
          </w:p>
        </w:tc>
      </w:tr>
      <w:tr>
        <w:trPr>
          <w:trHeight w:val="299" w:hRule="atLeast"/>
        </w:trPr>
        <w:tc>
          <w:tcPr>
            <w:tcW w:w="2516" w:type="dxa"/>
            <w:gridSpan w:val="2"/>
          </w:tcPr>
          <w:p>
            <w:pPr>
              <w:pStyle w:val="TableParagraph"/>
              <w:spacing w:line="248" w:lineRule="exact" w:before="31"/>
              <w:ind w:left="249"/>
              <w:rPr>
                <w:sz w:val="22"/>
              </w:rPr>
            </w:pPr>
            <w:r>
              <w:rPr>
                <w:sz w:val="22"/>
              </w:rPr>
              <w:t>Name of the company:</w:t>
            </w:r>
          </w:p>
        </w:tc>
        <w:tc>
          <w:tcPr>
            <w:tcW w:w="7122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2516" w:type="dxa"/>
            <w:gridSpan w:val="2"/>
          </w:tcPr>
          <w:p>
            <w:pPr>
              <w:pStyle w:val="TableParagraph"/>
              <w:spacing w:line="248" w:lineRule="exact" w:before="16"/>
              <w:ind w:left="472"/>
              <w:rPr>
                <w:sz w:val="22"/>
              </w:rPr>
            </w:pPr>
            <w:r>
              <w:rPr>
                <w:sz w:val="22"/>
              </w:rPr>
              <w:t>Balance sheet as at:</w:t>
            </w:r>
          </w:p>
        </w:tc>
        <w:tc>
          <w:tcPr>
            <w:tcW w:w="712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2516" w:type="dxa"/>
            <w:gridSpan w:val="2"/>
          </w:tcPr>
          <w:p>
            <w:pPr>
              <w:pStyle w:val="TableParagraph"/>
              <w:spacing w:line="248" w:lineRule="exact" w:before="45"/>
              <w:ind w:left="772"/>
              <w:rPr>
                <w:sz w:val="22"/>
              </w:rPr>
            </w:pPr>
            <w:r>
              <w:rPr>
                <w:sz w:val="22"/>
              </w:rPr>
              <w:t>Rupees in words:</w:t>
            </w:r>
          </w:p>
        </w:tc>
        <w:tc>
          <w:tcPr>
            <w:tcW w:w="7122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9638" w:type="dxa"/>
            <w:gridSpan w:val="6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3" w:hRule="atLeast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477" w:right="1440"/>
              <w:jc w:val="center"/>
              <w:rPr>
                <w:sz w:val="24"/>
              </w:rPr>
            </w:pPr>
            <w:r>
              <w:rPr>
                <w:sz w:val="24"/>
              </w:rPr>
              <w:t>Particulars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3" w:right="1"/>
              <w:jc w:val="center"/>
              <w:rPr>
                <w:sz w:val="24"/>
              </w:rPr>
            </w:pPr>
            <w:r>
              <w:rPr>
                <w:sz w:val="24"/>
              </w:rPr>
              <w:t>Note No.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56" w:lineRule="auto" w:before="17"/>
              <w:ind w:left="142" w:right="121"/>
              <w:jc w:val="center"/>
              <w:rPr>
                <w:sz w:val="24"/>
              </w:rPr>
            </w:pPr>
            <w:r>
              <w:rPr>
                <w:sz w:val="24"/>
              </w:rPr>
              <w:t>Figures as at the end of current reporting period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56" w:lineRule="auto" w:before="17"/>
              <w:ind w:left="78" w:right="54"/>
              <w:jc w:val="center"/>
              <w:rPr>
                <w:sz w:val="24"/>
              </w:rPr>
            </w:pPr>
            <w:r>
              <w:rPr>
                <w:sz w:val="24"/>
              </w:rPr>
              <w:t>Figures as at the end of previous reporting period</w:t>
            </w:r>
          </w:p>
        </w:tc>
      </w:tr>
      <w:tr>
        <w:trPr>
          <w:trHeight w:val="270" w:hRule="atLeast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48" w:lineRule="exact" w:before="2"/>
              <w:ind w:lef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48" w:lineRule="exact" w:before="2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48" w:lineRule="exact" w:before="2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48" w:lineRule="exact" w:before="2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85" w:hRule="atLeast"/>
        </w:trPr>
        <w:tc>
          <w:tcPr>
            <w:tcW w:w="963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 w:before="98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I. EQUITY AND LIABILITIES</w:t>
            </w:r>
          </w:p>
        </w:tc>
      </w:tr>
      <w:tr>
        <w:trPr>
          <w:trHeight w:val="414" w:hRule="atLeast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>
            <w:pPr>
              <w:pStyle w:val="TableParagraph"/>
              <w:spacing w:before="57"/>
              <w:ind w:left="42"/>
              <w:rPr>
                <w:sz w:val="24"/>
              </w:rPr>
            </w:pPr>
            <w:r>
              <w:rPr>
                <w:sz w:val="24"/>
              </w:rPr>
              <w:t>(1) Shareholder's funds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 w:before="2"/>
              <w:ind w:left="539"/>
              <w:rPr>
                <w:sz w:val="22"/>
              </w:rPr>
            </w:pPr>
            <w:r>
              <w:rPr>
                <w:sz w:val="22"/>
              </w:rPr>
              <w:t>(a) Share capital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 w:before="2"/>
              <w:ind w:left="539"/>
              <w:rPr>
                <w:sz w:val="22"/>
              </w:rPr>
            </w:pPr>
            <w:r>
              <w:rPr>
                <w:sz w:val="22"/>
              </w:rPr>
              <w:t>(b) Reserves and surplus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539"/>
              <w:rPr>
                <w:sz w:val="22"/>
              </w:rPr>
            </w:pPr>
            <w:r>
              <w:rPr>
                <w:sz w:val="22"/>
              </w:rPr>
              <w:t>(c) Money received against share</w:t>
            </w:r>
          </w:p>
          <w:p>
            <w:pPr>
              <w:pStyle w:val="TableParagraph"/>
              <w:spacing w:before="20"/>
              <w:ind w:left="851"/>
              <w:rPr>
                <w:sz w:val="22"/>
              </w:rPr>
            </w:pPr>
            <w:r>
              <w:rPr>
                <w:sz w:val="22"/>
              </w:rPr>
              <w:t>warrants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963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>
            <w:pPr>
              <w:pStyle w:val="TableParagraph"/>
              <w:spacing w:line="274" w:lineRule="exact"/>
              <w:ind w:left="42"/>
              <w:rPr>
                <w:sz w:val="24"/>
              </w:rPr>
            </w:pPr>
            <w:r>
              <w:rPr>
                <w:sz w:val="24"/>
              </w:rPr>
              <w:t>(2) Share application money pending</w:t>
            </w:r>
          </w:p>
          <w:p>
            <w:pPr>
              <w:pStyle w:val="TableParagraph"/>
              <w:spacing w:line="262" w:lineRule="exact" w:before="19"/>
              <w:ind w:left="445"/>
              <w:rPr>
                <w:sz w:val="24"/>
              </w:rPr>
            </w:pPr>
            <w:r>
              <w:rPr>
                <w:sz w:val="24"/>
              </w:rPr>
              <w:t>allotment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963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(3) Non-current liabilities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 w:before="16"/>
              <w:ind w:left="477"/>
              <w:rPr>
                <w:sz w:val="22"/>
              </w:rPr>
            </w:pPr>
            <w:r>
              <w:rPr>
                <w:sz w:val="22"/>
              </w:rPr>
              <w:t>(a) Long-term borrowings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 w:before="16"/>
              <w:ind w:left="477"/>
              <w:rPr>
                <w:sz w:val="22"/>
              </w:rPr>
            </w:pPr>
            <w:r>
              <w:rPr>
                <w:sz w:val="22"/>
              </w:rPr>
              <w:t>(b) Deferred tax liabilities (Net)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 w:before="16"/>
              <w:ind w:left="477"/>
              <w:rPr>
                <w:sz w:val="22"/>
              </w:rPr>
            </w:pPr>
            <w:r>
              <w:rPr>
                <w:sz w:val="22"/>
              </w:rPr>
              <w:t>(c) Other long term liabilities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 w:before="16"/>
              <w:ind w:left="477"/>
              <w:rPr>
                <w:sz w:val="22"/>
              </w:rPr>
            </w:pPr>
            <w:r>
              <w:rPr>
                <w:sz w:val="22"/>
              </w:rPr>
              <w:t>(d) Long-term provisions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963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(4) Current liabilities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 w:before="16"/>
              <w:ind w:left="477"/>
              <w:rPr>
                <w:sz w:val="22"/>
              </w:rPr>
            </w:pPr>
            <w:r>
              <w:rPr>
                <w:sz w:val="22"/>
              </w:rPr>
              <w:t>(a) Short-term borrowings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 w:before="16"/>
              <w:ind w:left="477"/>
              <w:rPr>
                <w:sz w:val="22"/>
              </w:rPr>
            </w:pPr>
            <w:r>
              <w:rPr>
                <w:sz w:val="22"/>
              </w:rPr>
              <w:t>(b) Trade payables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 w:before="16"/>
              <w:ind w:left="477"/>
              <w:rPr>
                <w:sz w:val="22"/>
              </w:rPr>
            </w:pPr>
            <w:r>
              <w:rPr>
                <w:sz w:val="22"/>
              </w:rPr>
              <w:t>(c) Other current liabilities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 w:before="16"/>
              <w:ind w:left="477"/>
              <w:rPr>
                <w:sz w:val="22"/>
              </w:rPr>
            </w:pPr>
            <w:r>
              <w:rPr>
                <w:sz w:val="22"/>
              </w:rPr>
              <w:t>(d) Short-term provisions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963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>
            <w:pPr>
              <w:pStyle w:val="TableParagraph"/>
              <w:spacing w:line="305" w:lineRule="exact" w:before="75"/>
              <w:ind w:left="49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1" w:hRule="atLeast"/>
        </w:trPr>
        <w:tc>
          <w:tcPr>
            <w:tcW w:w="963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267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II. ASSETS</w:t>
            </w:r>
          </w:p>
        </w:tc>
      </w:tr>
      <w:tr>
        <w:trPr>
          <w:trHeight w:val="284" w:hRule="atLeast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Non-current assets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8" w:lineRule="exact" w:before="16"/>
              <w:ind w:left="40"/>
              <w:rPr>
                <w:sz w:val="22"/>
              </w:rPr>
            </w:pPr>
            <w:r>
              <w:rPr>
                <w:sz w:val="22"/>
              </w:rPr>
              <w:t>(1)</w:t>
            </w:r>
          </w:p>
        </w:tc>
        <w:tc>
          <w:tcPr>
            <w:tcW w:w="20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8" w:lineRule="exact" w:before="16"/>
              <w:ind w:left="166"/>
              <w:rPr>
                <w:sz w:val="22"/>
              </w:rPr>
            </w:pPr>
            <w:r>
              <w:rPr>
                <w:sz w:val="22"/>
              </w:rPr>
              <w:t>(a) Fixed assets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 w:before="16"/>
              <w:ind w:left="1475"/>
              <w:rPr>
                <w:sz w:val="22"/>
              </w:rPr>
            </w:pPr>
            <w:r>
              <w:rPr>
                <w:sz w:val="22"/>
              </w:rPr>
              <w:t>(i) Tangible assets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 w:before="16"/>
              <w:ind w:left="1475"/>
              <w:rPr>
                <w:sz w:val="22"/>
              </w:rPr>
            </w:pPr>
            <w:r>
              <w:rPr>
                <w:sz w:val="22"/>
              </w:rPr>
              <w:t>(ii) Intangible assets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4" w:hRule="atLeast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tLeast" w:before="45"/>
              <w:ind w:left="1849" w:right="787" w:hanging="374"/>
              <w:rPr>
                <w:sz w:val="22"/>
              </w:rPr>
            </w:pPr>
            <w:r>
              <w:rPr>
                <w:sz w:val="22"/>
              </w:rPr>
              <w:t>(iii) Capital work-in progress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4" w:hRule="atLeast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tLeast" w:before="45"/>
              <w:ind w:left="1849" w:right="339" w:hanging="374"/>
              <w:rPr>
                <w:sz w:val="22"/>
              </w:rPr>
            </w:pPr>
            <w:r>
              <w:rPr>
                <w:sz w:val="22"/>
              </w:rPr>
              <w:t>(iv) Intangible assets under development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 w:before="16"/>
              <w:ind w:left="664"/>
              <w:rPr>
                <w:sz w:val="22"/>
              </w:rPr>
            </w:pPr>
            <w:r>
              <w:rPr>
                <w:sz w:val="22"/>
              </w:rPr>
              <w:t>(b) Non-current investments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 w:before="16"/>
              <w:ind w:left="664"/>
              <w:rPr>
                <w:sz w:val="22"/>
              </w:rPr>
            </w:pPr>
            <w:r>
              <w:rPr>
                <w:sz w:val="22"/>
              </w:rPr>
              <w:t>(c) Deferred tax assets (Net)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060" w:bottom="280" w:left="900" w:right="112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1"/>
        <w:gridCol w:w="1032"/>
        <w:gridCol w:w="2078"/>
        <w:gridCol w:w="2416"/>
      </w:tblGrid>
      <w:tr>
        <w:trPr>
          <w:trHeight w:val="604" w:hRule="atLeast"/>
        </w:trPr>
        <w:tc>
          <w:tcPr>
            <w:tcW w:w="4111" w:type="dxa"/>
          </w:tcPr>
          <w:p>
            <w:pPr>
              <w:pStyle w:val="TableParagraph"/>
              <w:spacing w:line="270" w:lineRule="atLeast" w:before="45"/>
              <w:ind w:left="1038" w:right="1059" w:hanging="374"/>
              <w:rPr>
                <w:sz w:val="22"/>
              </w:rPr>
            </w:pPr>
            <w:r>
              <w:rPr>
                <w:sz w:val="22"/>
              </w:rPr>
              <w:t>(d) Long-term loans and advances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4111" w:type="dxa"/>
          </w:tcPr>
          <w:p>
            <w:pPr>
              <w:pStyle w:val="TableParagraph"/>
              <w:spacing w:line="248" w:lineRule="exact" w:before="16"/>
              <w:ind w:left="664"/>
              <w:rPr>
                <w:sz w:val="22"/>
              </w:rPr>
            </w:pPr>
            <w:r>
              <w:rPr>
                <w:sz w:val="22"/>
              </w:rPr>
              <w:t>(e) Other non-current assets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9637" w:type="dxa"/>
            <w:gridSpan w:val="4"/>
            <w:tcBorders>
              <w:left w:val="single" w:sz="8" w:space="0" w:color="999999"/>
              <w:right w:val="single" w:sz="8" w:space="0" w:color="9999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111" w:type="dxa"/>
            <w:shd w:val="clear" w:color="auto" w:fill="EFEFEF"/>
          </w:tcPr>
          <w:p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(2) Current assets</w:t>
            </w:r>
          </w:p>
        </w:tc>
        <w:tc>
          <w:tcPr>
            <w:tcW w:w="1032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111" w:type="dxa"/>
          </w:tcPr>
          <w:p>
            <w:pPr>
              <w:pStyle w:val="TableParagraph"/>
              <w:spacing w:line="248" w:lineRule="exact" w:before="16"/>
              <w:ind w:left="477"/>
              <w:rPr>
                <w:sz w:val="22"/>
              </w:rPr>
            </w:pPr>
            <w:r>
              <w:rPr>
                <w:sz w:val="22"/>
              </w:rPr>
              <w:t>(a) Current investments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111" w:type="dxa"/>
          </w:tcPr>
          <w:p>
            <w:pPr>
              <w:pStyle w:val="TableParagraph"/>
              <w:spacing w:line="248" w:lineRule="exact" w:before="16"/>
              <w:ind w:left="477"/>
              <w:rPr>
                <w:sz w:val="22"/>
              </w:rPr>
            </w:pPr>
            <w:r>
              <w:rPr>
                <w:sz w:val="22"/>
              </w:rPr>
              <w:t>(b) Inventories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111" w:type="dxa"/>
          </w:tcPr>
          <w:p>
            <w:pPr>
              <w:pStyle w:val="TableParagraph"/>
              <w:spacing w:line="248" w:lineRule="exact" w:before="16"/>
              <w:ind w:left="477"/>
              <w:rPr>
                <w:sz w:val="22"/>
              </w:rPr>
            </w:pPr>
            <w:r>
              <w:rPr>
                <w:sz w:val="22"/>
              </w:rPr>
              <w:t>(c) Trade receivables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111" w:type="dxa"/>
          </w:tcPr>
          <w:p>
            <w:pPr>
              <w:pStyle w:val="TableParagraph"/>
              <w:spacing w:line="248" w:lineRule="exact" w:before="16"/>
              <w:ind w:left="477"/>
              <w:rPr>
                <w:sz w:val="22"/>
              </w:rPr>
            </w:pPr>
            <w:r>
              <w:rPr>
                <w:sz w:val="22"/>
              </w:rPr>
              <w:t>(d) Cash and cash equivalents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111" w:type="dxa"/>
          </w:tcPr>
          <w:p>
            <w:pPr>
              <w:pStyle w:val="TableParagraph"/>
              <w:spacing w:line="248" w:lineRule="exact" w:before="16"/>
              <w:ind w:left="477"/>
              <w:rPr>
                <w:sz w:val="22"/>
              </w:rPr>
            </w:pPr>
            <w:r>
              <w:rPr>
                <w:sz w:val="22"/>
              </w:rPr>
              <w:t>(e) Short-term loans and advances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111" w:type="dxa"/>
          </w:tcPr>
          <w:p>
            <w:pPr>
              <w:pStyle w:val="TableParagraph"/>
              <w:spacing w:line="248" w:lineRule="exact" w:before="16"/>
              <w:ind w:left="477"/>
              <w:rPr>
                <w:sz w:val="22"/>
              </w:rPr>
            </w:pPr>
            <w:r>
              <w:rPr>
                <w:sz w:val="22"/>
              </w:rPr>
              <w:t>(f) Other current assets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9637" w:type="dxa"/>
            <w:gridSpan w:val="4"/>
            <w:tcBorders>
              <w:left w:val="single" w:sz="8" w:space="0" w:color="999999"/>
              <w:right w:val="single" w:sz="8" w:space="0" w:color="9999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4111" w:type="dxa"/>
            <w:shd w:val="clear" w:color="auto" w:fill="EFEFEF"/>
          </w:tcPr>
          <w:p>
            <w:pPr>
              <w:pStyle w:val="TableParagraph"/>
              <w:spacing w:before="29"/>
              <w:ind w:left="49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032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8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6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1910" w:h="16840"/>
      <w:pgMar w:top="1060" w:bottom="280" w:left="9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YASHWANT</dc:creator>
  <dc:title>Provisional Balance sheet Format Vertical 01.xlsx</dc:title>
  <dcterms:created xsi:type="dcterms:W3CDTF">2022-05-27T07:16:03Z</dcterms:created>
  <dcterms:modified xsi:type="dcterms:W3CDTF">2022-05-27T07:16:03Z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LastSaved">
    <vt:filetime>2022-05-27T00:00:00Z</vt:filetime>
  </property>
</Properties>
</file>